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  <w:r>
        <w:rPr>
          <w:b/>
          <w:sz w:val="24"/>
        </w:rPr>
        <w:t xml:space="preserve">EMF Effects as Cited by Martin Pall, PhD.  </w:t>
      </w:r>
      <w:r>
        <w:rPr>
          <w:b/>
          <w:sz w:val="24"/>
        </w:rPr>
      </w:r>
    </w:p>
    <w:p>
      <w:r>
        <w:rPr>
          <w:b/>
          <w:sz w:val="24"/>
        </w:rPr>
        <w:t xml:space="preserve">Professore Emeritus of Biochemistry and Basic Medical Sciences at Washingon State University</w:t>
      </w:r>
      <w:r/>
    </w:p>
    <w:p>
      <w:r/>
      <w:r/>
    </w:p>
    <w:p>
      <w:r>
        <w:t xml:space="preserve">PDF ‘Letter to Call’ California Legislators August 7, 2017</w:t>
      </w:r>
      <w:r/>
    </w:p>
    <w:p>
      <w:r>
        <w:t xml:space="preserve">-link: </w:t>
      </w:r>
      <w:r>
        <w:t xml:space="preserve">https://bit.ly/3nNpKA9</w:t>
      </w:r>
      <w:r/>
      <w:r/>
    </w:p>
    <w:p>
      <w:r/>
      <w:r/>
    </w:p>
    <w:p>
      <w:r>
        <w:t xml:space="preserve">90 page 5G EMF Hazards Paper</w:t>
      </w:r>
      <w:r/>
    </w:p>
    <w:p>
      <w:r>
        <w:t xml:space="preserve">-link: </w:t>
      </w:r>
      <w:r>
        <w:t xml:space="preserve">https://tinyurl.com/8hy4bjk</w:t>
      </w:r>
      <w:r/>
      <w:r/>
    </w:p>
    <w:p>
      <w:r/>
      <w:r/>
    </w:p>
    <w:p>
      <w:r>
        <w:rPr>
          <w:b/>
        </w:rPr>
        <w:t xml:space="preserve">“</w:t>
      </w:r>
      <w:r>
        <w:rPr>
          <w:b/>
        </w:rPr>
        <w:t xml:space="preserve">EMFs act by activating channels in the membrane that surrounds each of our cells, called voltage-gated calcium channels (VGCCs). The EMFs put forces on the voltage sensor that controls the VGCCs of about 7.2 million times greater than the forces on other c</w:t>
      </w:r>
      <w:r>
        <w:rPr>
          <w:b/>
        </w:rPr>
        <w:t xml:space="preserve">harged groups in our cells [4,6,7]. This is why weak EMFs have such large biological effects on the cells of our bodies! EMFs works this way not only on human and diverse animal cells [1-7] but also in plant cells [7] so that this is a universal or near un</w:t>
      </w:r>
      <w:r>
        <w:rPr>
          <w:b/>
        </w:rPr>
        <w:t xml:space="preserve">iversal mechanism of action. “</w:t>
      </w:r>
      <w:r>
        <w:rPr>
          <w:b/>
        </w:rPr>
      </w:r>
      <w:r/>
    </w:p>
    <w:p>
      <w:r/>
      <w:r/>
    </w:p>
    <w:p>
      <w:pPr>
        <w:rPr>
          <w:sz w:val="24"/>
        </w:rPr>
      </w:pPr>
      <w:r>
        <w:rPr>
          <w:sz w:val="24"/>
        </w:rPr>
      </w:r>
      <w:r>
        <w:rPr>
          <w:b/>
          <w:sz w:val="24"/>
          <w:u w:val="single"/>
        </w:rPr>
        <w:t xml:space="preserve">5G EMF Hazards Paper Summary</w:t>
      </w:r>
      <w:r>
        <w:rPr>
          <w:sz w:val="24"/>
        </w:rPr>
      </w:r>
      <w:r>
        <w:rPr>
          <w:sz w:val="24"/>
        </w:rPr>
      </w:r>
    </w:p>
    <w:p>
      <w:r>
        <w:t xml:space="preserve">1. Attack our nervous systems including our brains leading to widespread</w:t>
      </w:r>
      <w:r/>
    </w:p>
    <w:p>
      <w:r>
        <w:t xml:space="preserve">neurological/neuropsychiatric effects and possibly many other effects.</w:t>
      </w:r>
      <w:r/>
    </w:p>
    <w:p>
      <w:r>
        <w:t xml:space="preserve">2. Attack our endocrine (that is hormonal) systems. In this context, the main things that</w:t>
      </w:r>
      <w:r/>
    </w:p>
    <w:p>
      <w:r>
        <w:t xml:space="preserve">make us functionally different from single celled creatures are our nervous system and</w:t>
      </w:r>
      <w:r/>
    </w:p>
    <w:p>
      <w:r>
        <w:t xml:space="preserve">our endocrine systems</w:t>
      </w:r>
      <w:r/>
    </w:p>
    <w:p>
      <w:r>
        <w:t xml:space="preserve">3. Produce oxidative stress and free radical damage, which have central roles in essentially</w:t>
      </w:r>
      <w:r/>
    </w:p>
    <w:p>
      <w:r>
        <w:t xml:space="preserve">all chronic diseases.</w:t>
      </w:r>
      <w:r/>
    </w:p>
    <w:p>
      <w:r>
        <w:t xml:space="preserve">4. Attack the DNA of our cells, producing single strand and double strand breaks in cellular</w:t>
      </w:r>
      <w:r/>
    </w:p>
    <w:p>
      <w:r>
        <w:t xml:space="preserve">DNA and oxidized bases in our cellular DNA. These in turn produce cancer and also</w:t>
      </w:r>
      <w:r/>
    </w:p>
    <w:p>
      <w:r>
        <w:t xml:space="preserve">mutations in germ line cells which produce mutations in future generations.</w:t>
      </w:r>
      <w:r/>
    </w:p>
    <w:p>
      <w:r>
        <w:t xml:space="preserve">5. Produce elevated levels of apoptosis (programmed cell death), events especially</w:t>
      </w:r>
      <w:r/>
    </w:p>
    <w:p>
      <w:r>
        <w:t xml:space="preserve">important in causing both neurodegenerative diseases and infertility.</w:t>
      </w:r>
      <w:r/>
    </w:p>
    <w:p>
      <w:r>
        <w:t xml:space="preserve">6. Lower male and female fertility, lower sex hormones, lower libido and increased levels</w:t>
      </w:r>
      <w:r/>
    </w:p>
    <w:p>
      <w:r>
        <w:t xml:space="preserve">of spontaneous abortion and, as already stated, attack the DNA in sperm cells.</w:t>
      </w:r>
      <w:r/>
    </w:p>
    <w:p>
      <w:r>
        <w:t xml:space="preserve">7. Produce excessive intracellular calcium [Ca2+]i and excessive calcium signaling.</w:t>
      </w:r>
      <w:r/>
    </w:p>
    <w:p>
      <w:r>
        <w:t xml:space="preserve">8. Attack the cells of our bodies to cause cancer. Such attacks are thought to act via 15</w:t>
      </w:r>
      <w:r/>
    </w:p>
    <w:p>
      <w:r>
        <w:t xml:space="preserve">different mechanisms during cancer causation.</w:t>
      </w:r>
      <w:r/>
      <w:r/>
      <w:r/>
    </w:p>
    <w:p>
      <w:r>
        <w:t xml:space="preserve">9) Therapeutic effects including stimulation of bone growth.</w:t>
      </w:r>
      <w:r/>
    </w:p>
    <w:p>
      <w:r>
        <w:t xml:space="preserve">10) Cataract formation (previously thought to be thermal, now known not to be).</w:t>
      </w:r>
      <w:r/>
    </w:p>
    <w:p>
      <w:r>
        <w:t xml:space="preserve">11) Breakdown of the blood-brain barrier.</w:t>
      </w:r>
      <w:r/>
    </w:p>
    <w:p>
      <w:r>
        <w:t xml:space="preserve">12) Melatonin depletion and sleep disruption</w:t>
      </w:r>
      <w:r/>
      <w:r/>
      <w:r/>
    </w:p>
    <w:p>
      <w:r/>
      <w:r/>
    </w:p>
    <w:p>
      <w:pPr>
        <w:rPr>
          <w:b/>
          <w:u w:val="single"/>
        </w:rPr>
      </w:pPr>
      <w:r>
        <w:rPr>
          <w:b/>
          <w:sz w:val="24"/>
          <w:u w:val="single"/>
        </w:rPr>
        <w:t xml:space="preserve">Chapters Outlined</w:t>
      </w:r>
      <w:r/>
    </w:p>
    <w:p>
      <w:r>
        <w:rPr>
          <w:b w:val="false"/>
          <w:u w:val="none"/>
        </w:rPr>
        <w:t xml:space="preserve">Chapter 1: Eight Extremely Well-Documented Effects of Non-Thermal EMF Exposures: Role of</w:t>
      </w:r>
      <w:r>
        <w:rPr>
          <w:b w:val="false"/>
          <w:u w:val="none"/>
        </w:rPr>
      </w:r>
    </w:p>
    <w:p>
      <w:r>
        <w:rPr>
          <w:b w:val="false"/>
          <w:u w:val="none"/>
        </w:rPr>
        <w:t xml:space="preserve">Pulsations, Other Factors that Influence EMF Effects, pp. 4-17</w:t>
      </w:r>
      <w:r>
        <w:rPr>
          <w:b w:val="false"/>
          <w:u w:val="none"/>
        </w:rPr>
      </w:r>
    </w:p>
    <w:p>
      <w:r>
        <w:rPr>
          <w:b w:val="false"/>
          <w:u w:val="none"/>
        </w:rPr>
        <w:t xml:space="preserve">Chapter 2: How Each Such EMF Effect Is Directly Produced via Voltage-Gated Calcium</w:t>
      </w:r>
      <w:r>
        <w:rPr>
          <w:b w:val="false"/>
          <w:u w:val="none"/>
        </w:rPr>
      </w:r>
    </w:p>
    <w:p>
      <w:r>
        <w:rPr>
          <w:b w:val="false"/>
          <w:u w:val="none"/>
        </w:rPr>
        <w:t xml:space="preserve">Channel Activation: Role of the Voltage Sensor in Producing the Extraordinary Sensitivity to</w:t>
      </w:r>
      <w:r>
        <w:rPr>
          <w:b w:val="false"/>
          <w:u w:val="none"/>
        </w:rPr>
      </w:r>
    </w:p>
    <w:p>
      <w:r>
        <w:rPr>
          <w:b w:val="false"/>
          <w:u w:val="none"/>
        </w:rPr>
        <w:t xml:space="preserve">EMF Effects, pp. 17-23</w:t>
      </w:r>
      <w:r>
        <w:rPr>
          <w:b w:val="false"/>
          <w:u w:val="none"/>
        </w:rPr>
      </w:r>
    </w:p>
    <w:p>
      <w:r>
        <w:rPr>
          <w:b w:val="false"/>
          <w:u w:val="none"/>
        </w:rPr>
        <w:t xml:space="preserve">Chapter 3. Strong Evidence for Cumulative and Irreversible EMF Effects pp. 23-27</w:t>
      </w:r>
      <w:r>
        <w:rPr>
          <w:b w:val="false"/>
          <w:u w:val="none"/>
        </w:rPr>
      </w:r>
    </w:p>
    <w:p>
      <w:r>
        <w:rPr>
          <w:b w:val="false"/>
          <w:u w:val="none"/>
        </w:rPr>
        <w:t xml:space="preserve">Chapter 4. EMFs Including Wi-Fi May Be Particularly Damaging to Young People pp. 27,28</w:t>
      </w:r>
      <w:r>
        <w:rPr>
          <w:b w:val="false"/>
          <w:u w:val="none"/>
        </w:rPr>
      </w:r>
    </w:p>
    <w:p>
      <w:r>
        <w:rPr>
          <w:b w:val="false"/>
          <w:u w:val="none"/>
        </w:rPr>
        <w:t xml:space="preserve">4</w:t>
      </w:r>
      <w:r>
        <w:rPr>
          <w:b w:val="false"/>
          <w:u w:val="none"/>
        </w:rPr>
      </w:r>
    </w:p>
    <w:p>
      <w:r>
        <w:rPr>
          <w:b w:val="false"/>
          <w:u w:val="none"/>
        </w:rPr>
        <w:t xml:space="preserve">Chapter 5: The Importance of the SCENIHR 2015 Document and the Many Omissions, Flaws</w:t>
      </w:r>
      <w:r>
        <w:rPr>
          <w:b w:val="false"/>
          <w:u w:val="none"/>
        </w:rPr>
      </w:r>
    </w:p>
    <w:p>
      <w:r>
        <w:rPr>
          <w:b w:val="false"/>
          <w:u w:val="none"/>
        </w:rPr>
        <w:t xml:space="preserve">and Falsehoods in That Document pp. 28-58</w:t>
      </w:r>
      <w:r>
        <w:rPr>
          <w:b w:val="false"/>
          <w:u w:val="none"/>
        </w:rPr>
      </w:r>
    </w:p>
    <w:p>
      <w:r>
        <w:rPr>
          <w:b w:val="false"/>
          <w:u w:val="none"/>
        </w:rPr>
        <w:t xml:space="preserve">Chapter 6: The U.S. Early Role in Recognizing Non-Thermal EMF Effects and How This Was</w:t>
      </w:r>
      <w:r>
        <w:rPr>
          <w:b w:val="false"/>
          <w:u w:val="none"/>
        </w:rPr>
      </w:r>
    </w:p>
    <w:p>
      <w:r>
        <w:rPr>
          <w:b w:val="false"/>
          <w:u w:val="none"/>
        </w:rPr>
        <w:t xml:space="preserve">Abandoned Starting in 1986: U.S. Failure to Research Health Impacts of Cell Phone Towers,</w:t>
      </w:r>
      <w:r>
        <w:rPr>
          <w:b w:val="false"/>
          <w:u w:val="none"/>
        </w:rPr>
      </w:r>
    </w:p>
    <w:p>
      <w:r>
        <w:rPr>
          <w:b w:val="false"/>
          <w:u w:val="none"/>
        </w:rPr>
        <w:t xml:space="preserve">Cell Phones, Wi-Fi, Smart Meters and Now 5G. What Is the Current Position of U.S.</w:t>
      </w:r>
      <w:r>
        <w:rPr>
          <w:b w:val="false"/>
          <w:u w:val="none"/>
        </w:rPr>
      </w:r>
    </w:p>
    <w:p>
      <w:r>
        <w:rPr>
          <w:b w:val="false"/>
          <w:u w:val="none"/>
        </w:rPr>
        <w:t xml:space="preserve">Government Agencies? pp. 58-78</w:t>
      </w:r>
      <w:r>
        <w:rPr>
          <w:b w:val="false"/>
          <w:u w:val="none"/>
        </w:rPr>
      </w:r>
    </w:p>
    <w:p>
      <w:r>
        <w:rPr>
          <w:b w:val="false"/>
          <w:u w:val="none"/>
        </w:rPr>
        <w:t xml:space="preserve">Chapter 7: The Great Risks of 5G: What We Know and What We Don’t Know pp. 78-82</w:t>
      </w:r>
      <w:r>
        <w:rPr>
          <w:b w:val="false"/>
          <w:u w:val="none"/>
        </w:rPr>
      </w:r>
      <w:r>
        <w:rPr>
          <w:b w:val="false"/>
          <w:u w:val="none"/>
        </w:rPr>
      </w:r>
      <w:r>
        <w:rPr>
          <w:b w:val="false"/>
          <w:u w:val="none"/>
        </w:rPr>
      </w:r>
    </w:p>
    <w:p>
      <w:r/>
      <w:r/>
    </w:p>
    <w:p>
      <w:r/>
      <w:r/>
    </w:p>
    <w:sectPr>
      <w:foot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37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37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37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376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377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378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3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380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381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390"/>
    <w:uiPriority w:val="10"/>
    <w:rPr>
      <w:sz w:val="48"/>
      <w:szCs w:val="48"/>
    </w:rPr>
  </w:style>
  <w:style w:type="character" w:styleId="35">
    <w:name w:val="Subtitle Char"/>
    <w:basedOn w:val="9"/>
    <w:link w:val="388"/>
    <w:uiPriority w:val="11"/>
    <w:rPr>
      <w:sz w:val="24"/>
      <w:szCs w:val="24"/>
    </w:rPr>
  </w:style>
  <w:style w:type="character" w:styleId="37">
    <w:name w:val="Quote Char"/>
    <w:link w:val="387"/>
    <w:uiPriority w:val="29"/>
    <w:rPr>
      <w:i/>
    </w:rPr>
  </w:style>
  <w:style w:type="character" w:styleId="39">
    <w:name w:val="Intense Quote Char"/>
    <w:link w:val="389"/>
    <w:uiPriority w:val="30"/>
    <w:rPr>
      <w:i/>
    </w:rPr>
  </w:style>
  <w:style w:type="character" w:styleId="41">
    <w:name w:val="Header Char"/>
    <w:basedOn w:val="9"/>
    <w:link w:val="385"/>
    <w:uiPriority w:val="99"/>
  </w:style>
  <w:style w:type="character" w:styleId="43">
    <w:name w:val="Footer Char"/>
    <w:basedOn w:val="9"/>
    <w:link w:val="384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384"/>
    <w:uiPriority w:val="99"/>
  </w:style>
  <w:style w:type="table" w:styleId="46">
    <w:name w:val="Table Grid"/>
    <w:basedOn w:val="38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8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8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8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</w:style>
  <w:style w:type="paragraph" w:styleId="373">
    <w:name w:val="Heading 1"/>
    <w:basedOn w:val="372"/>
    <w:next w:val="372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374">
    <w:name w:val="Heading 2"/>
    <w:basedOn w:val="372"/>
    <w:next w:val="372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375">
    <w:name w:val="Heading 3"/>
    <w:basedOn w:val="372"/>
    <w:next w:val="372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376">
    <w:name w:val="Heading 4"/>
    <w:basedOn w:val="372"/>
    <w:next w:val="372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377">
    <w:name w:val="Heading 5"/>
    <w:basedOn w:val="372"/>
    <w:next w:val="372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378">
    <w:name w:val="Heading 6"/>
    <w:basedOn w:val="372"/>
    <w:next w:val="372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379">
    <w:name w:val="Heading 7"/>
    <w:basedOn w:val="372"/>
    <w:next w:val="372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380">
    <w:name w:val="Heading 8"/>
    <w:basedOn w:val="372"/>
    <w:next w:val="372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381">
    <w:name w:val="Heading 9"/>
    <w:basedOn w:val="372"/>
    <w:next w:val="372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3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83" w:default="1">
    <w:name w:val="No List"/>
    <w:uiPriority w:val="99"/>
    <w:semiHidden/>
    <w:unhideWhenUsed/>
  </w:style>
  <w:style w:type="paragraph" w:styleId="384">
    <w:name w:val="Footer"/>
    <w:basedOn w:val="372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385">
    <w:name w:val="Header"/>
    <w:basedOn w:val="372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386">
    <w:name w:val="No Spacing"/>
    <w:qFormat/>
    <w:uiPriority w:val="1"/>
    <w:pPr>
      <w:spacing w:lineRule="auto" w:line="240" w:after="0"/>
    </w:pPr>
  </w:style>
  <w:style w:type="paragraph" w:styleId="387">
    <w:name w:val="Quote"/>
    <w:basedOn w:val="372"/>
    <w:next w:val="372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388">
    <w:name w:val="Subtitle"/>
    <w:basedOn w:val="372"/>
    <w:next w:val="372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389">
    <w:name w:val="Intense Quote"/>
    <w:basedOn w:val="372"/>
    <w:next w:val="372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390">
    <w:name w:val="Title"/>
    <w:basedOn w:val="372"/>
    <w:next w:val="372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391">
    <w:name w:val="List Paragraph"/>
    <w:basedOn w:val="372"/>
    <w:qFormat/>
    <w:uiPriority w:val="34"/>
    <w:pPr>
      <w:contextualSpacing w:val="true"/>
      <w:ind w:left="720"/>
    </w:pPr>
  </w:style>
  <w:style w:type="character" w:styleId="39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ONLYOFFICE/2.5.565.0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2021-05-04T23:16:13Z</dcterms:modified>
</cp:coreProperties>
</file>